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98" w:rsidRPr="002D5598" w:rsidRDefault="00E231D5" w:rsidP="00E231D5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аварийности в Алтайском крае</w:t>
      </w:r>
      <w:bookmarkStart w:id="0" w:name="_GoBack"/>
      <w:bookmarkEnd w:id="0"/>
    </w:p>
    <w:p w:rsidR="00E231D5" w:rsidRDefault="00E231D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r w:rsidRPr="00E231D5">
        <w:rPr>
          <w:szCs w:val="28"/>
        </w:rPr>
        <w:t>Сообщаем, что по информации ГУ МВД России по Алтайскому краю в 2024 году на территории Алтайского края зарегистрировано 318 дорожно-транс</w:t>
      </w:r>
      <w:r w:rsidRPr="00E231D5">
        <w:rPr>
          <w:szCs w:val="28"/>
        </w:rPr>
        <w:softHyphen/>
        <w:t>портных происшествий (далее - «ДТП») с участием несовершеннолетних, в ко</w:t>
      </w:r>
      <w:r w:rsidRPr="00E231D5">
        <w:rPr>
          <w:szCs w:val="28"/>
        </w:rPr>
        <w:softHyphen/>
        <w:t>торых 4 ребенка погибли и 353 получили ранения.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r w:rsidRPr="00E231D5">
        <w:rPr>
          <w:szCs w:val="28"/>
        </w:rPr>
        <w:t>За указанный период зарегистрировано 118 ДТП с участием детей-пасса</w:t>
      </w:r>
      <w:r w:rsidRPr="00E231D5">
        <w:rPr>
          <w:szCs w:val="28"/>
        </w:rPr>
        <w:softHyphen/>
        <w:t>жиров, в результате которых 4 ребенка погибли и 142 получили ранения. Из них 9 детей в возрасте до 7 лет перевозились в салоне автомобиля с нарушением пра</w:t>
      </w:r>
      <w:r w:rsidRPr="00E231D5">
        <w:rPr>
          <w:szCs w:val="28"/>
        </w:rPr>
        <w:softHyphen/>
        <w:t>вил перевозки, в возрасте от 7 до 12 лет - 5 юных пассажиров, 3 ребенка - без ремней безопасности.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r w:rsidRPr="00E231D5">
        <w:rPr>
          <w:szCs w:val="28"/>
        </w:rPr>
        <w:t xml:space="preserve">Гибель детей-пассажиров допущена в Третьяковском, Алейском районах, в </w:t>
      </w:r>
      <w:proofErr w:type="spellStart"/>
      <w:r w:rsidRPr="00E231D5">
        <w:rPr>
          <w:szCs w:val="28"/>
        </w:rPr>
        <w:t>р.п</w:t>
      </w:r>
      <w:proofErr w:type="spellEnd"/>
      <w:r w:rsidRPr="00E231D5">
        <w:rPr>
          <w:szCs w:val="28"/>
        </w:rPr>
        <w:t>. Благовещенка, в г. Барнауле - по 1 ребенку.</w:t>
      </w:r>
      <w:r w:rsidR="00E231D5">
        <w:rPr>
          <w:szCs w:val="28"/>
        </w:rPr>
        <w:t xml:space="preserve"> </w:t>
      </w:r>
      <w:r w:rsidRPr="00E231D5">
        <w:rPr>
          <w:szCs w:val="28"/>
        </w:rPr>
        <w:t>Зарегистрировано 112 ДТП с участием детей-пешеходов, в результате ко</w:t>
      </w:r>
      <w:r w:rsidRPr="00E231D5">
        <w:rPr>
          <w:szCs w:val="28"/>
        </w:rPr>
        <w:softHyphen/>
        <w:t>торых 114 детей получили ранения.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r w:rsidRPr="00E231D5">
        <w:rPr>
          <w:szCs w:val="28"/>
        </w:rPr>
        <w:t xml:space="preserve">В связи с этим особого внимания требует профилактика детского </w:t>
      </w:r>
      <w:proofErr w:type="spellStart"/>
      <w:r w:rsidRPr="00E231D5">
        <w:rPr>
          <w:szCs w:val="28"/>
        </w:rPr>
        <w:t>дорожно</w:t>
      </w:r>
      <w:r w:rsidRPr="00E231D5">
        <w:rPr>
          <w:szCs w:val="28"/>
        </w:rPr>
        <w:softHyphen/>
        <w:t>транспортного</w:t>
      </w:r>
      <w:proofErr w:type="spellEnd"/>
      <w:r w:rsidRPr="00E231D5">
        <w:rPr>
          <w:szCs w:val="28"/>
        </w:rPr>
        <w:t xml:space="preserve"> травматизма (далее - «ДДТТ») с участием детей водителей меха</w:t>
      </w:r>
      <w:r w:rsidRPr="00E231D5">
        <w:rPr>
          <w:szCs w:val="28"/>
        </w:rPr>
        <w:softHyphen/>
        <w:t>нических транспортных средств. В течение анализируемого периода регистриро</w:t>
      </w:r>
      <w:r w:rsidRPr="00E231D5">
        <w:rPr>
          <w:szCs w:val="28"/>
        </w:rPr>
        <w:softHyphen/>
        <w:t xml:space="preserve">вался рост практически вдвое количества ДТП с участием несовершеннолетних водителей </w:t>
      </w:r>
      <w:proofErr w:type="spellStart"/>
      <w:r w:rsidRPr="00E231D5">
        <w:rPr>
          <w:szCs w:val="28"/>
        </w:rPr>
        <w:t>мототранспортных</w:t>
      </w:r>
      <w:proofErr w:type="spellEnd"/>
      <w:r w:rsidRPr="00E231D5">
        <w:rPr>
          <w:szCs w:val="28"/>
        </w:rPr>
        <w:t xml:space="preserve"> средств, при которых в подавляющем большинстве несовершеннолетние водители допускали нарушения Правил дорожного движе</w:t>
      </w:r>
      <w:r w:rsidRPr="00E231D5">
        <w:rPr>
          <w:szCs w:val="28"/>
        </w:rPr>
        <w:softHyphen/>
        <w:t>ния Российской Федерации (далее - «ПДД РФ»). Всего зарегистрировано 59 ДТП, из них с участием детей по их неосторожности - 39.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r w:rsidRPr="00E231D5">
        <w:rPr>
          <w:szCs w:val="28"/>
        </w:rPr>
        <w:t xml:space="preserve">Также наблюдается увеличение в сравнении с прошлым годом на 11,0% (с 91 до 101) количества ДТП, в которых дети получили ранения </w:t>
      </w:r>
      <w:proofErr w:type="gramStart"/>
      <w:r w:rsidRPr="00E231D5">
        <w:rPr>
          <w:szCs w:val="28"/>
        </w:rPr>
        <w:t>по</w:t>
      </w:r>
      <w:proofErr w:type="gramEnd"/>
      <w:r w:rsidRPr="00E231D5">
        <w:rPr>
          <w:szCs w:val="28"/>
        </w:rPr>
        <w:t xml:space="preserve"> собственной неосторожности.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r w:rsidRPr="00E231D5">
        <w:rPr>
          <w:szCs w:val="28"/>
        </w:rPr>
        <w:t>Рост количества ДТП с участием детей зарегистрировано на территориях: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 w:val="22"/>
          <w:szCs w:val="28"/>
        </w:rPr>
      </w:pPr>
      <w:r w:rsidRPr="00E231D5">
        <w:rPr>
          <w:sz w:val="22"/>
          <w:szCs w:val="28"/>
        </w:rPr>
        <w:t xml:space="preserve">Ленинского (с 9 до 20, рост на 122,2%) и Октябрьского (с 7 до 13, рост </w:t>
      </w:r>
      <w:proofErr w:type="gramStart"/>
      <w:r w:rsidRPr="00E231D5">
        <w:rPr>
          <w:sz w:val="22"/>
          <w:szCs w:val="28"/>
        </w:rPr>
        <w:t>на</w:t>
      </w:r>
      <w:proofErr w:type="gramEnd"/>
      <w:r w:rsidRPr="00E231D5">
        <w:rPr>
          <w:sz w:val="22"/>
          <w:szCs w:val="28"/>
        </w:rPr>
        <w:t xml:space="preserve"> 85,7%) районов г. Барнаула;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r w:rsidRPr="00E231D5">
        <w:rPr>
          <w:szCs w:val="28"/>
        </w:rPr>
        <w:t>г. Бийска (с 38 до 43, рост на 13,2%);</w:t>
      </w:r>
      <w:r w:rsidR="00E231D5">
        <w:rPr>
          <w:szCs w:val="28"/>
        </w:rPr>
        <w:t xml:space="preserve"> </w:t>
      </w:r>
      <w:r w:rsidRPr="00E231D5">
        <w:rPr>
          <w:szCs w:val="28"/>
        </w:rPr>
        <w:t xml:space="preserve">Благовещенского района (с 1 до 3, рост </w:t>
      </w:r>
      <w:proofErr w:type="gramStart"/>
      <w:r w:rsidRPr="00E231D5">
        <w:rPr>
          <w:szCs w:val="28"/>
        </w:rPr>
        <w:t>на</w:t>
      </w:r>
      <w:proofErr w:type="gramEnd"/>
      <w:r w:rsidRPr="00E231D5">
        <w:rPr>
          <w:szCs w:val="28"/>
        </w:rPr>
        <w:t xml:space="preserve"> 200,0%);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proofErr w:type="spellStart"/>
      <w:r w:rsidRPr="00E231D5">
        <w:rPr>
          <w:szCs w:val="28"/>
        </w:rPr>
        <w:t>Завьяловского</w:t>
      </w:r>
      <w:proofErr w:type="spellEnd"/>
      <w:r w:rsidRPr="00E231D5">
        <w:rPr>
          <w:szCs w:val="28"/>
        </w:rPr>
        <w:t xml:space="preserve"> района (с 1 до 3, рост на 200,0%);</w:t>
      </w:r>
      <w:r w:rsidR="00E231D5">
        <w:rPr>
          <w:szCs w:val="28"/>
        </w:rPr>
        <w:t xml:space="preserve"> </w:t>
      </w:r>
      <w:proofErr w:type="spellStart"/>
      <w:r w:rsidRPr="00E231D5">
        <w:rPr>
          <w:sz w:val="22"/>
          <w:szCs w:val="28"/>
        </w:rPr>
        <w:t>Краснощековского</w:t>
      </w:r>
      <w:proofErr w:type="spellEnd"/>
      <w:r w:rsidRPr="00E231D5">
        <w:rPr>
          <w:sz w:val="22"/>
          <w:szCs w:val="28"/>
        </w:rPr>
        <w:t xml:space="preserve">, </w:t>
      </w:r>
      <w:proofErr w:type="spellStart"/>
      <w:r w:rsidRPr="00E231D5">
        <w:rPr>
          <w:sz w:val="22"/>
          <w:szCs w:val="28"/>
        </w:rPr>
        <w:t>Крутихинского</w:t>
      </w:r>
      <w:proofErr w:type="spellEnd"/>
      <w:r w:rsidRPr="00E231D5">
        <w:rPr>
          <w:sz w:val="22"/>
          <w:szCs w:val="28"/>
        </w:rPr>
        <w:t xml:space="preserve">, </w:t>
      </w:r>
      <w:proofErr w:type="spellStart"/>
      <w:r w:rsidRPr="00E231D5">
        <w:rPr>
          <w:sz w:val="22"/>
          <w:szCs w:val="28"/>
        </w:rPr>
        <w:t>Солонешенского</w:t>
      </w:r>
      <w:proofErr w:type="spellEnd"/>
      <w:r w:rsidRPr="00E231D5">
        <w:rPr>
          <w:sz w:val="22"/>
          <w:szCs w:val="28"/>
        </w:rPr>
        <w:t xml:space="preserve">, </w:t>
      </w:r>
      <w:proofErr w:type="spellStart"/>
      <w:r w:rsidRPr="00E231D5">
        <w:rPr>
          <w:sz w:val="22"/>
          <w:szCs w:val="28"/>
        </w:rPr>
        <w:t>Усть-Калманского</w:t>
      </w:r>
      <w:proofErr w:type="spellEnd"/>
      <w:r w:rsidRPr="00E231D5">
        <w:rPr>
          <w:sz w:val="22"/>
          <w:szCs w:val="28"/>
        </w:rPr>
        <w:t>, Чарышского (с 0 до 1);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proofErr w:type="spellStart"/>
      <w:r w:rsidRPr="00E231D5">
        <w:rPr>
          <w:szCs w:val="28"/>
        </w:rPr>
        <w:t>Курьинского</w:t>
      </w:r>
      <w:proofErr w:type="spellEnd"/>
      <w:r w:rsidRPr="00E231D5">
        <w:rPr>
          <w:szCs w:val="28"/>
        </w:rPr>
        <w:t xml:space="preserve"> района (с 0 до 2);</w:t>
      </w:r>
      <w:r w:rsidR="00E231D5" w:rsidRPr="00E231D5">
        <w:rPr>
          <w:szCs w:val="28"/>
        </w:rPr>
        <w:t xml:space="preserve"> </w:t>
      </w:r>
      <w:proofErr w:type="spellStart"/>
      <w:r w:rsidRPr="00E231D5">
        <w:rPr>
          <w:szCs w:val="28"/>
        </w:rPr>
        <w:t>Калманского</w:t>
      </w:r>
      <w:proofErr w:type="spellEnd"/>
      <w:r w:rsidRPr="00E231D5">
        <w:rPr>
          <w:szCs w:val="28"/>
        </w:rPr>
        <w:t xml:space="preserve">, </w:t>
      </w:r>
      <w:proofErr w:type="spellStart"/>
      <w:r w:rsidRPr="00E231D5">
        <w:rPr>
          <w:szCs w:val="28"/>
        </w:rPr>
        <w:t>Усть</w:t>
      </w:r>
      <w:proofErr w:type="spellEnd"/>
      <w:r w:rsidRPr="00E231D5">
        <w:rPr>
          <w:szCs w:val="28"/>
        </w:rPr>
        <w:t>-Пристанского, Целинного районов (с 1 до 2, рост на 100,0%);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r w:rsidRPr="00E231D5">
        <w:rPr>
          <w:szCs w:val="28"/>
        </w:rPr>
        <w:t>г. Новоалтайска (с 13 до 18, рост на 38,5%);</w:t>
      </w:r>
      <w:r w:rsidR="00E231D5">
        <w:rPr>
          <w:szCs w:val="28"/>
        </w:rPr>
        <w:t xml:space="preserve"> </w:t>
      </w:r>
      <w:r w:rsidRPr="00E231D5">
        <w:rPr>
          <w:szCs w:val="28"/>
        </w:rPr>
        <w:t>Немецкого национального района (с 1 до 5, рост на 400,0%);</w:t>
      </w:r>
      <w:r w:rsidR="00E231D5">
        <w:rPr>
          <w:szCs w:val="28"/>
        </w:rPr>
        <w:t xml:space="preserve"> </w:t>
      </w:r>
      <w:r w:rsidRPr="00E231D5">
        <w:rPr>
          <w:szCs w:val="28"/>
        </w:rPr>
        <w:t>Павловского района (с 8 до 12, рост на 50,0%);</w:t>
      </w:r>
      <w:r w:rsidR="00E231D5">
        <w:rPr>
          <w:szCs w:val="28"/>
        </w:rPr>
        <w:t xml:space="preserve"> </w:t>
      </w:r>
      <w:proofErr w:type="spellStart"/>
      <w:r w:rsidRPr="00E231D5">
        <w:rPr>
          <w:szCs w:val="28"/>
        </w:rPr>
        <w:t>Рубцовского</w:t>
      </w:r>
      <w:proofErr w:type="spellEnd"/>
      <w:r w:rsidRPr="00E231D5">
        <w:rPr>
          <w:szCs w:val="28"/>
        </w:rPr>
        <w:t xml:space="preserve"> района (с 3 </w:t>
      </w:r>
      <w:proofErr w:type="gramStart"/>
      <w:r w:rsidRPr="00E231D5">
        <w:rPr>
          <w:szCs w:val="28"/>
        </w:rPr>
        <w:t>до</w:t>
      </w:r>
      <w:proofErr w:type="gramEnd"/>
      <w:r w:rsidRPr="00E231D5">
        <w:rPr>
          <w:szCs w:val="28"/>
        </w:rPr>
        <w:t xml:space="preserve"> 7, рост на 133,3%);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r w:rsidRPr="00E231D5">
        <w:rPr>
          <w:szCs w:val="28"/>
        </w:rPr>
        <w:t>Смоленского района (с 2 до 3);</w:t>
      </w:r>
      <w:r w:rsidR="00E231D5">
        <w:rPr>
          <w:szCs w:val="28"/>
        </w:rPr>
        <w:t xml:space="preserve"> </w:t>
      </w:r>
      <w:proofErr w:type="spellStart"/>
      <w:r w:rsidRPr="00E231D5">
        <w:rPr>
          <w:szCs w:val="28"/>
        </w:rPr>
        <w:t>Тальменского</w:t>
      </w:r>
      <w:proofErr w:type="spellEnd"/>
      <w:r w:rsidRPr="00E231D5">
        <w:rPr>
          <w:szCs w:val="28"/>
        </w:rPr>
        <w:t xml:space="preserve"> района (с 4 до 5, рост на 25,0%);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rPr>
          <w:szCs w:val="28"/>
        </w:rPr>
      </w:pPr>
      <w:r w:rsidRPr="00E231D5">
        <w:rPr>
          <w:szCs w:val="28"/>
        </w:rPr>
        <w:t>Третьяковского района (с 0 до 3).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r w:rsidRPr="00E231D5">
        <w:rPr>
          <w:szCs w:val="28"/>
        </w:rPr>
        <w:t>Вблизи расположения образовательных организаций зафиксировано 11 ДТП: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proofErr w:type="gramStart"/>
      <w:r w:rsidRPr="00E231D5">
        <w:rPr>
          <w:szCs w:val="28"/>
        </w:rPr>
        <w:t xml:space="preserve">г. Новоалтайск, г. Рубцовск, </w:t>
      </w:r>
      <w:proofErr w:type="spellStart"/>
      <w:r w:rsidRPr="00E231D5">
        <w:rPr>
          <w:szCs w:val="28"/>
        </w:rPr>
        <w:t>Солонешенский</w:t>
      </w:r>
      <w:proofErr w:type="spellEnd"/>
      <w:r w:rsidRPr="00E231D5">
        <w:rPr>
          <w:szCs w:val="28"/>
        </w:rPr>
        <w:t xml:space="preserve"> район (по 1 ДТП);</w:t>
      </w:r>
      <w:r w:rsidR="00E231D5">
        <w:rPr>
          <w:szCs w:val="28"/>
        </w:rPr>
        <w:t xml:space="preserve"> </w:t>
      </w:r>
      <w:r w:rsidRPr="00E231D5">
        <w:rPr>
          <w:sz w:val="22"/>
          <w:szCs w:val="28"/>
        </w:rPr>
        <w:t>Железнодорожный, Октябрьский, Центральный (по 1 ДТП), Ленинский (3 ДТП) районы г. Барнаула;</w:t>
      </w:r>
      <w:r w:rsidR="00E231D5">
        <w:rPr>
          <w:szCs w:val="28"/>
        </w:rPr>
        <w:t xml:space="preserve"> </w:t>
      </w:r>
      <w:proofErr w:type="spellStart"/>
      <w:r w:rsidRPr="00E231D5">
        <w:rPr>
          <w:szCs w:val="28"/>
        </w:rPr>
        <w:t>Алейский</w:t>
      </w:r>
      <w:proofErr w:type="spellEnd"/>
      <w:r w:rsidRPr="00E231D5">
        <w:rPr>
          <w:szCs w:val="28"/>
        </w:rPr>
        <w:t xml:space="preserve"> район (2 ДТП).</w:t>
      </w:r>
      <w:proofErr w:type="gramEnd"/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r w:rsidRPr="00E231D5">
        <w:rPr>
          <w:szCs w:val="28"/>
        </w:rPr>
        <w:t>По собственной неосторожности несовершеннолетних (из-за допущенных детьми нарушений ПДД РФ) пешеходов зарегистрировано 35 ДТП, в которых по</w:t>
      </w:r>
      <w:r w:rsidRPr="00E231D5">
        <w:rPr>
          <w:szCs w:val="28"/>
        </w:rPr>
        <w:softHyphen/>
        <w:t>лучили ранения 35 детей: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r w:rsidRPr="00E231D5">
        <w:rPr>
          <w:szCs w:val="28"/>
        </w:rPr>
        <w:t>г. Барнаул (13);</w:t>
      </w:r>
      <w:r w:rsidR="00E231D5">
        <w:rPr>
          <w:szCs w:val="28"/>
        </w:rPr>
        <w:t xml:space="preserve"> </w:t>
      </w:r>
      <w:r w:rsidRPr="00E231D5">
        <w:rPr>
          <w:szCs w:val="28"/>
        </w:rPr>
        <w:t>г. Бийск (9);</w:t>
      </w:r>
      <w:r w:rsidR="00E231D5">
        <w:rPr>
          <w:szCs w:val="28"/>
        </w:rPr>
        <w:t xml:space="preserve"> </w:t>
      </w:r>
      <w:r w:rsidRPr="00E231D5">
        <w:rPr>
          <w:szCs w:val="28"/>
        </w:rPr>
        <w:t>г. Новоалтайск (3);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proofErr w:type="spellStart"/>
      <w:r w:rsidRPr="00E231D5">
        <w:rPr>
          <w:szCs w:val="28"/>
        </w:rPr>
        <w:t>Алейский</w:t>
      </w:r>
      <w:proofErr w:type="spellEnd"/>
      <w:r w:rsidRPr="00E231D5">
        <w:rPr>
          <w:szCs w:val="28"/>
        </w:rPr>
        <w:t xml:space="preserve">, Благовещенский, </w:t>
      </w:r>
      <w:proofErr w:type="spellStart"/>
      <w:r w:rsidRPr="00E231D5">
        <w:rPr>
          <w:szCs w:val="28"/>
        </w:rPr>
        <w:t>Ельцовский</w:t>
      </w:r>
      <w:proofErr w:type="spellEnd"/>
      <w:r w:rsidRPr="00E231D5">
        <w:rPr>
          <w:szCs w:val="28"/>
        </w:rPr>
        <w:t xml:space="preserve">, </w:t>
      </w:r>
      <w:proofErr w:type="spellStart"/>
      <w:r w:rsidRPr="00E231D5">
        <w:rPr>
          <w:szCs w:val="28"/>
        </w:rPr>
        <w:t>Завьяловский</w:t>
      </w:r>
      <w:proofErr w:type="spellEnd"/>
      <w:r w:rsidRPr="00E231D5">
        <w:rPr>
          <w:szCs w:val="28"/>
        </w:rPr>
        <w:t>, Зональный Немец</w:t>
      </w:r>
      <w:r w:rsidRPr="00E231D5">
        <w:rPr>
          <w:szCs w:val="28"/>
        </w:rPr>
        <w:softHyphen/>
        <w:t xml:space="preserve">кий национальный, </w:t>
      </w:r>
      <w:proofErr w:type="spellStart"/>
      <w:r w:rsidRPr="00E231D5">
        <w:rPr>
          <w:szCs w:val="28"/>
        </w:rPr>
        <w:t>Новичихинский</w:t>
      </w:r>
      <w:proofErr w:type="spellEnd"/>
      <w:r w:rsidRPr="00E231D5">
        <w:rPr>
          <w:szCs w:val="28"/>
        </w:rPr>
        <w:t xml:space="preserve">, Павловский, </w:t>
      </w:r>
      <w:proofErr w:type="spellStart"/>
      <w:r w:rsidRPr="00E231D5">
        <w:rPr>
          <w:szCs w:val="28"/>
        </w:rPr>
        <w:t>Солонешенский</w:t>
      </w:r>
      <w:proofErr w:type="spellEnd"/>
      <w:r w:rsidRPr="00E231D5">
        <w:rPr>
          <w:szCs w:val="28"/>
        </w:rPr>
        <w:t>, Троицкий районы (по 1).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r w:rsidRPr="00E231D5">
        <w:rPr>
          <w:szCs w:val="28"/>
        </w:rPr>
        <w:t>Также существует проблема личной недисциплинированности водителей и соблюдения ими ПДД РФ: на каждого второго раненого ребенка-пешехода наезд совершен на пешеходных переходах, при этом 60 детей получили травмы. Из-за нарушения ПДД РФ водителями произошло 261 ДТП, в которых 4 ребенка по</w:t>
      </w:r>
      <w:r w:rsidRPr="00E231D5">
        <w:rPr>
          <w:szCs w:val="28"/>
        </w:rPr>
        <w:softHyphen/>
        <w:t>гибли и 296 получили ранения.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r w:rsidRPr="00E231D5">
        <w:rPr>
          <w:szCs w:val="28"/>
        </w:rPr>
        <w:t>В целях профилактики аварийности с учас</w:t>
      </w:r>
      <w:r w:rsidR="002D5598" w:rsidRPr="00E231D5">
        <w:rPr>
          <w:szCs w:val="28"/>
        </w:rPr>
        <w:t>тием детей в 2025 году необхо</w:t>
      </w:r>
      <w:r w:rsidRPr="00E231D5">
        <w:rPr>
          <w:szCs w:val="28"/>
        </w:rPr>
        <w:t>димо: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r w:rsidRPr="00E231D5">
        <w:rPr>
          <w:szCs w:val="28"/>
        </w:rPr>
        <w:t>консолидировать усилия в работе с несовершеннолетними и их родителями инспекторов Госавтоинспекции, сотрудников подразделений по делам несовер</w:t>
      </w:r>
      <w:r w:rsidRPr="00E231D5">
        <w:rPr>
          <w:szCs w:val="28"/>
        </w:rPr>
        <w:softHyphen/>
        <w:t>шеннолетних, участковых уполномоченных полиции, представителей муници</w:t>
      </w:r>
      <w:r w:rsidRPr="00E231D5">
        <w:rPr>
          <w:szCs w:val="28"/>
        </w:rPr>
        <w:softHyphen/>
        <w:t>пальных органов управления образованием, общественных объединений, роди</w:t>
      </w:r>
      <w:r w:rsidRPr="00E231D5">
        <w:rPr>
          <w:szCs w:val="28"/>
        </w:rPr>
        <w:softHyphen/>
        <w:t>тельской общественности и иных заинтересованных лиц;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proofErr w:type="gramStart"/>
      <w:r w:rsidRPr="00E231D5">
        <w:rPr>
          <w:szCs w:val="28"/>
        </w:rPr>
        <w:t>продолжить практику проведения пропагандистских акций и мероприятий (занятия, беседы, инструктажи, «минутки безопасности»), направленных на про</w:t>
      </w:r>
      <w:r w:rsidRPr="00E231D5">
        <w:rPr>
          <w:szCs w:val="28"/>
        </w:rPr>
        <w:softHyphen/>
        <w:t xml:space="preserve">свещение участников дорожного движения по тематике безопасного поведения на дорогах, в том числе пользования ремнями </w:t>
      </w:r>
      <w:r w:rsidRPr="00E231D5">
        <w:rPr>
          <w:szCs w:val="28"/>
        </w:rPr>
        <w:lastRenderedPageBreak/>
        <w:t>безопасности и детскими удержи</w:t>
      </w:r>
      <w:r w:rsidRPr="00E231D5">
        <w:rPr>
          <w:szCs w:val="28"/>
        </w:rPr>
        <w:softHyphen/>
        <w:t xml:space="preserve">вающими устройствами, а также </w:t>
      </w:r>
      <w:proofErr w:type="spellStart"/>
      <w:r w:rsidRPr="00E231D5">
        <w:rPr>
          <w:szCs w:val="28"/>
        </w:rPr>
        <w:t>световозвращающими</w:t>
      </w:r>
      <w:proofErr w:type="spellEnd"/>
      <w:r w:rsidRPr="00E231D5">
        <w:rPr>
          <w:szCs w:val="28"/>
        </w:rPr>
        <w:t xml:space="preserve"> элементами пешеходами и водителями при управлении </w:t>
      </w:r>
      <w:proofErr w:type="spellStart"/>
      <w:r w:rsidRPr="00E231D5">
        <w:rPr>
          <w:szCs w:val="28"/>
        </w:rPr>
        <w:t>велотранспортом</w:t>
      </w:r>
      <w:proofErr w:type="spellEnd"/>
      <w:r w:rsidRPr="00E231D5">
        <w:rPr>
          <w:szCs w:val="28"/>
        </w:rPr>
        <w:t xml:space="preserve"> в темное время суток, разъяснять</w:t>
      </w:r>
      <w:r w:rsidR="002D5598" w:rsidRPr="00E231D5">
        <w:rPr>
          <w:szCs w:val="28"/>
        </w:rPr>
        <w:t xml:space="preserve"> </w:t>
      </w:r>
      <w:r w:rsidRPr="00E231D5">
        <w:rPr>
          <w:szCs w:val="28"/>
        </w:rPr>
        <w:t>ученикам старшего звена последствия нарушения административного законода</w:t>
      </w:r>
      <w:r w:rsidRPr="00E231D5">
        <w:rPr>
          <w:szCs w:val="28"/>
        </w:rPr>
        <w:softHyphen/>
        <w:t>тельства в случае управления транспортным</w:t>
      </w:r>
      <w:proofErr w:type="gramEnd"/>
      <w:r w:rsidRPr="00E231D5">
        <w:rPr>
          <w:szCs w:val="28"/>
        </w:rPr>
        <w:t xml:space="preserve"> средством водителем, не имеющим права управления транспортным средством;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r w:rsidRPr="00E231D5">
        <w:rPr>
          <w:szCs w:val="28"/>
        </w:rPr>
        <w:t>при проведении родительских собраний особое внимание уделять разъяс</w:t>
      </w:r>
      <w:r w:rsidRPr="00E231D5">
        <w:rPr>
          <w:szCs w:val="28"/>
        </w:rPr>
        <w:softHyphen/>
        <w:t>нению водителям неукоснительного соблюдения скоростного режима при пере</w:t>
      </w:r>
      <w:r w:rsidRPr="00E231D5">
        <w:rPr>
          <w:szCs w:val="28"/>
        </w:rPr>
        <w:softHyphen/>
        <w:t>возке детей в транспортных средствах, формированию нетерпимости к управле</w:t>
      </w:r>
      <w:r w:rsidRPr="00E231D5">
        <w:rPr>
          <w:szCs w:val="28"/>
        </w:rPr>
        <w:softHyphen/>
        <w:t>нию транспортными средствами в состоянии опьянения, в больном и утомленном состоянии;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r w:rsidRPr="00E231D5">
        <w:rPr>
          <w:szCs w:val="28"/>
        </w:rPr>
        <w:t>активно использовать для обмена значимой информацией по профилактике ДДТТ официальные сайты образовательных организаций, электронные дневники учащихся, а также официальные аккаунты подразделений Госавтоинспекции и территориальных органов внутренних дел в социальных сетях;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r w:rsidRPr="00E231D5">
        <w:rPr>
          <w:szCs w:val="28"/>
        </w:rPr>
        <w:t>продолжить практику проведения акций и рейдов совместно с представи</w:t>
      </w:r>
      <w:r w:rsidRPr="00E231D5">
        <w:rPr>
          <w:szCs w:val="28"/>
        </w:rPr>
        <w:softHyphen/>
        <w:t>телями родительских патрулей, отрядов юных инспекторов движения, в местах расположения образовательных организаций и объектов массового притяжения детей.</w:t>
      </w:r>
    </w:p>
    <w:p w:rsidR="007613F4" w:rsidRPr="00E231D5" w:rsidRDefault="00047CF5" w:rsidP="00E231D5">
      <w:pPr>
        <w:pStyle w:val="1"/>
        <w:shd w:val="clear" w:color="auto" w:fill="auto"/>
        <w:spacing w:line="240" w:lineRule="auto"/>
        <w:ind w:firstLine="740"/>
        <w:jc w:val="both"/>
        <w:rPr>
          <w:szCs w:val="28"/>
        </w:rPr>
      </w:pPr>
      <w:r w:rsidRPr="00E231D5">
        <w:rPr>
          <w:szCs w:val="28"/>
        </w:rPr>
        <w:t>Дополнительно направляем план мероприятий по вопросам развития в субъектах Российской Федерации системы профилактики ДДТТ в рамках межве</w:t>
      </w:r>
      <w:r w:rsidRPr="00E231D5">
        <w:rPr>
          <w:szCs w:val="28"/>
        </w:rPr>
        <w:softHyphen/>
        <w:t xml:space="preserve">домственного взаимодействия </w:t>
      </w:r>
      <w:proofErr w:type="spellStart"/>
      <w:r w:rsidRPr="00E231D5">
        <w:rPr>
          <w:szCs w:val="28"/>
        </w:rPr>
        <w:t>Минпросвещения</w:t>
      </w:r>
      <w:proofErr w:type="spellEnd"/>
      <w:r w:rsidRPr="00E231D5">
        <w:rPr>
          <w:szCs w:val="28"/>
        </w:rPr>
        <w:t xml:space="preserve"> России и Госавтоинспекции в 2025 году для организации исполнения в части компетенции.</w:t>
      </w:r>
    </w:p>
    <w:p w:rsidR="007613F4" w:rsidRPr="00E231D5" w:rsidRDefault="007613F4" w:rsidP="00E231D5">
      <w:pPr>
        <w:pStyle w:val="22"/>
        <w:shd w:val="clear" w:color="auto" w:fill="auto"/>
        <w:rPr>
          <w:sz w:val="24"/>
          <w:szCs w:val="28"/>
        </w:rPr>
      </w:pPr>
    </w:p>
    <w:sectPr w:rsidR="007613F4" w:rsidRPr="00E231D5" w:rsidSect="00E231D5">
      <w:headerReference w:type="default" r:id="rId7"/>
      <w:headerReference w:type="first" r:id="rId8"/>
      <w:type w:val="continuous"/>
      <w:pgSz w:w="11900" w:h="16840"/>
      <w:pgMar w:top="1143" w:right="418" w:bottom="1157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DB0" w:rsidRDefault="003D7DB0">
      <w:r>
        <w:separator/>
      </w:r>
    </w:p>
  </w:endnote>
  <w:endnote w:type="continuationSeparator" w:id="0">
    <w:p w:rsidR="003D7DB0" w:rsidRDefault="003D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DB0" w:rsidRDefault="003D7DB0"/>
  </w:footnote>
  <w:footnote w:type="continuationSeparator" w:id="0">
    <w:p w:rsidR="003D7DB0" w:rsidRDefault="003D7DB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F4" w:rsidRDefault="00047CF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7D60ADE7" wp14:editId="00FC8210">
              <wp:simplePos x="0" y="0"/>
              <wp:positionH relativeFrom="page">
                <wp:posOffset>4227830</wp:posOffset>
              </wp:positionH>
              <wp:positionV relativeFrom="page">
                <wp:posOffset>283845</wp:posOffset>
              </wp:positionV>
              <wp:extent cx="88265" cy="1524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613F4" w:rsidRDefault="00047CF5">
                          <w:pPr>
                            <w:pStyle w:val="24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231D5" w:rsidRPr="00E231D5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32.9pt;margin-top:22.35pt;width:6.95pt;height:12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" filled="f" stroked="f">
              <v:textbox style="mso-fit-shape-to-text:t" inset="0,0,0,0">
                <w:txbxContent>
                  <w:p w:rsidR="007613F4" w:rsidRDefault="00047CF5">
                    <w:pPr>
                      <w:pStyle w:val="24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231D5" w:rsidRPr="00E231D5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3F4" w:rsidRDefault="007613F4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F4"/>
    <w:rsid w:val="00047CF5"/>
    <w:rsid w:val="002D5598"/>
    <w:rsid w:val="003D7DB0"/>
    <w:rsid w:val="007613F4"/>
    <w:rsid w:val="00E2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EBEBEB"/>
      <w:sz w:val="34"/>
      <w:szCs w:val="34"/>
      <w:u w:val="none"/>
      <w:lang w:val="en-US" w:eastAsia="en-US" w:bidi="en-US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00" w:line="264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1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14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60"/>
      <w:ind w:firstLine="240"/>
      <w:outlineLvl w:val="0"/>
    </w:pPr>
    <w:rPr>
      <w:rFonts w:ascii="Times New Roman" w:eastAsia="Times New Roman" w:hAnsi="Times New Roman" w:cs="Times New Roman"/>
      <w:smallCaps/>
      <w:color w:val="EBEBEB"/>
      <w:sz w:val="34"/>
      <w:szCs w:val="34"/>
      <w:lang w:val="en-US" w:eastAsia="en-US" w:bidi="en-US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left="3280"/>
    </w:pPr>
    <w:rPr>
      <w:rFonts w:ascii="Times New Roman" w:eastAsia="Times New Roman" w:hAnsi="Times New Roman" w:cs="Times New Roman"/>
      <w:sz w:val="11"/>
      <w:szCs w:val="11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32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60" w:line="199" w:lineRule="auto"/>
      <w:jc w:val="center"/>
    </w:pPr>
    <w:rPr>
      <w:rFonts w:ascii="Arial" w:eastAsia="Arial" w:hAnsi="Arial" w:cs="Arial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E231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1D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EBEBEB"/>
      <w:sz w:val="34"/>
      <w:szCs w:val="34"/>
      <w:u w:val="none"/>
      <w:lang w:val="en-US" w:eastAsia="en-US" w:bidi="en-US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00" w:line="264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1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14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60"/>
      <w:ind w:firstLine="240"/>
      <w:outlineLvl w:val="0"/>
    </w:pPr>
    <w:rPr>
      <w:rFonts w:ascii="Times New Roman" w:eastAsia="Times New Roman" w:hAnsi="Times New Roman" w:cs="Times New Roman"/>
      <w:smallCaps/>
      <w:color w:val="EBEBEB"/>
      <w:sz w:val="34"/>
      <w:szCs w:val="34"/>
      <w:lang w:val="en-US" w:eastAsia="en-US" w:bidi="en-US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left="3280"/>
    </w:pPr>
    <w:rPr>
      <w:rFonts w:ascii="Times New Roman" w:eastAsia="Times New Roman" w:hAnsi="Times New Roman" w:cs="Times New Roman"/>
      <w:sz w:val="11"/>
      <w:szCs w:val="11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328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60" w:line="199" w:lineRule="auto"/>
      <w:jc w:val="center"/>
    </w:pPr>
    <w:rPr>
      <w:rFonts w:ascii="Arial" w:eastAsia="Arial" w:hAnsi="Arial" w:cs="Arial"/>
      <w:sz w:val="15"/>
      <w:szCs w:val="15"/>
    </w:rPr>
  </w:style>
  <w:style w:type="paragraph" w:styleId="a6">
    <w:name w:val="Balloon Text"/>
    <w:basedOn w:val="a"/>
    <w:link w:val="a7"/>
    <w:uiPriority w:val="99"/>
    <w:semiHidden/>
    <w:unhideWhenUsed/>
    <w:rsid w:val="00E231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31D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MSI</cp:lastModifiedBy>
  <cp:revision>4</cp:revision>
  <cp:lastPrinted>2025-02-21T06:04:00Z</cp:lastPrinted>
  <dcterms:created xsi:type="dcterms:W3CDTF">2025-02-20T09:18:00Z</dcterms:created>
  <dcterms:modified xsi:type="dcterms:W3CDTF">2025-02-21T06:04:00Z</dcterms:modified>
</cp:coreProperties>
</file>